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0" w:rsidRDefault="00FC1C30"/>
    <w:p w:rsidR="00823BB4" w:rsidRDefault="00823BB4">
      <w:r>
        <w:rPr>
          <w:noProof/>
          <w:lang w:val="ka-GE" w:eastAsia="ka-GE"/>
        </w:rPr>
        <w:drawing>
          <wp:inline distT="0" distB="0" distL="0" distR="0" wp14:anchorId="4928A1AD">
            <wp:extent cx="8703028" cy="489585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765" cy="490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BB4" w:rsidRDefault="00823BB4"/>
    <w:p w:rsidR="00823BB4" w:rsidRDefault="00823BB4"/>
    <w:p w:rsidR="00823BB4" w:rsidRDefault="00823BB4">
      <w:r>
        <w:rPr>
          <w:noProof/>
          <w:lang w:val="ka-GE" w:eastAsia="ka-GE"/>
        </w:rPr>
        <w:lastRenderedPageBreak/>
        <w:drawing>
          <wp:inline distT="0" distB="0" distL="0" distR="0" wp14:anchorId="33C87909">
            <wp:extent cx="8076547" cy="454342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074" cy="4575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BB4" w:rsidRDefault="00823BB4"/>
    <w:p w:rsidR="00823BB4" w:rsidRDefault="00823BB4"/>
    <w:p w:rsidR="00823BB4" w:rsidRDefault="00823BB4"/>
    <w:p w:rsidR="00823BB4" w:rsidRDefault="00823BB4">
      <w:r>
        <w:rPr>
          <w:noProof/>
          <w:lang w:val="ka-GE" w:eastAsia="ka-GE"/>
        </w:rPr>
        <w:lastRenderedPageBreak/>
        <w:drawing>
          <wp:inline distT="0" distB="0" distL="0" distR="0" wp14:anchorId="57E1D0F5">
            <wp:extent cx="8410575" cy="5267356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1651" cy="5286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3BB4" w:rsidRDefault="00C676C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საყრდენი ბაზების მონაცემებით, მე-4 კალენდარულ კვირაში, გრიპისმაგვარი დაავადებების ინციდენტობა რჩება სტაბილურ</w:t>
      </w:r>
      <w:r w:rsidR="00500F05">
        <w:rPr>
          <w:rFonts w:ascii="Sylfaen" w:hAnsi="Sylfaen"/>
          <w:lang w:val="ka-GE"/>
        </w:rPr>
        <w:t>ად მცირედ კლებადი</w:t>
      </w:r>
      <w:r>
        <w:rPr>
          <w:rFonts w:ascii="Sylfaen" w:hAnsi="Sylfaen"/>
          <w:lang w:val="ka-GE"/>
        </w:rPr>
        <w:t>. გამომწვევის იდენტიფიკაციის პროცესი მიმდინარეობს და შედეგები განახლდება უახლოეს მომავალში, რასაც დამატებით გაცნობებთ;</w:t>
      </w:r>
    </w:p>
    <w:p w:rsidR="00C676CF" w:rsidRDefault="00C676C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პერიოდში შემცირების ტენდენცია გამოხატულია მწვავე რესპირაციული დაავადების გამო ჰოსპიტალიზაციის წილი საერთო ჰოსპიტალიზაციაში. ჰოსპიტალიზებულ პაციენტთა ლაბორატორიული ტესტირებისას გამოვლენილია </w:t>
      </w:r>
      <w:r w:rsidR="00F339C8">
        <w:rPr>
          <w:rFonts w:ascii="Sylfaen" w:hAnsi="Sylfaen"/>
        </w:rPr>
        <w:t xml:space="preserve">A/H1, A/H3 - </w:t>
      </w:r>
      <w:r w:rsidR="00F339C8">
        <w:rPr>
          <w:rFonts w:ascii="Sylfaen" w:hAnsi="Sylfaen"/>
          <w:lang w:val="ka-GE"/>
        </w:rPr>
        <w:t>გრიპის, რინო, კორონა, ადამიანის მეტაპნევმო და ადენოვირუსები. ამასთან, გრიპის ვირუსების იდენტიფიკაციის წილი შემცირებულია.</w:t>
      </w:r>
    </w:p>
    <w:p w:rsidR="00F339C8" w:rsidRDefault="00F339C8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სულ საყრდენი ბაზებით ეპიდზედამხედველობის მონაცემებით, 2018-2019 წლების სეზონზე ტესტირებულია 710 ნიმუში. მ.შ. 380 შემთხვევაში იდენტიფიცირებულია </w:t>
      </w:r>
      <w:r>
        <w:rPr>
          <w:rFonts w:ascii="Sylfaen" w:hAnsi="Sylfaen"/>
        </w:rPr>
        <w:t xml:space="preserve">A(H1N1)pdm09, 18 </w:t>
      </w:r>
      <w:r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</w:rPr>
        <w:t xml:space="preserve"> - A(H3N2).</w:t>
      </w:r>
    </w:p>
    <w:p w:rsidR="00F339C8" w:rsidRDefault="00F339C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მომენტისათვის სახელმწიფო და კერძო სექტორის მიერ </w:t>
      </w:r>
      <w:r w:rsidR="00500F05">
        <w:rPr>
          <w:rFonts w:ascii="Sylfaen" w:hAnsi="Sylfaen"/>
          <w:lang w:val="ka-GE"/>
        </w:rPr>
        <w:t xml:space="preserve">24-28 იანვრის განმავლობასი, </w:t>
      </w:r>
      <w:r>
        <w:rPr>
          <w:rFonts w:ascii="Sylfaen" w:hAnsi="Sylfaen"/>
          <w:lang w:val="ka-GE"/>
        </w:rPr>
        <w:t>გრიპის ვაქცინით ქვეყნის მასშტაბით დამატებით აცრილია 142 ორსული</w:t>
      </w:r>
      <w:r w:rsidR="00500F05">
        <w:rPr>
          <w:rFonts w:ascii="Sylfaen" w:hAnsi="Sylfaen"/>
          <w:lang w:val="ka-GE"/>
        </w:rPr>
        <w:t xml:space="preserve">, </w:t>
      </w:r>
      <w:r w:rsidR="00500F05">
        <w:rPr>
          <w:rFonts w:ascii="Sylfaen" w:hAnsi="Sylfaen"/>
          <w:lang w:val="ka-GE"/>
        </w:rPr>
        <w:t>აქედან 109</w:t>
      </w:r>
      <w:r w:rsidR="00500F05">
        <w:rPr>
          <w:rFonts w:ascii="Sylfaen" w:hAnsi="Sylfaen"/>
          <w:lang w:val="ka-GE"/>
        </w:rPr>
        <w:t xml:space="preserve">  სახელმწიფოს და 33 კერძო სექტორის მიერ შემოტანილი ვაქცინებით.</w:t>
      </w:r>
    </w:p>
    <w:p w:rsidR="00BF032B" w:rsidRDefault="00BF032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საზოგადოებრივი ჯანდაცვის ცენტრებიდან დღემდე გაცემულია </w:t>
      </w:r>
      <w:r>
        <w:rPr>
          <w:rFonts w:ascii="Sylfaen" w:hAnsi="Sylfaen"/>
          <w:lang w:val="ka-GE"/>
        </w:rPr>
        <w:t>ტამიფლუ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2916</w:t>
      </w:r>
      <w:r>
        <w:rPr>
          <w:rFonts w:ascii="Sylfaen" w:hAnsi="Sylfaen"/>
          <w:lang w:val="ka-GE"/>
        </w:rPr>
        <w:t xml:space="preserve"> პირზე.</w:t>
      </w:r>
    </w:p>
    <w:p w:rsidR="00BF032B" w:rsidRDefault="00BF032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დღეისთვის ცენტრის მარაგებში ინახება 315 კოლოფი ტამიფლუ, ხოლო მუნიციპალიტეტების საზოგადოებრივ ჯანდაცვის ცენტრებში არის 27967 კაფსულა (2796 კოლოფი) ტამიფლუ.</w:t>
      </w:r>
    </w:p>
    <w:p w:rsidR="00500F05" w:rsidRDefault="00500F05">
      <w:pPr>
        <w:rPr>
          <w:rFonts w:ascii="Sylfaen" w:hAnsi="Sylfaen"/>
          <w:lang w:val="ka-GE"/>
        </w:rPr>
      </w:pPr>
    </w:p>
    <w:p w:rsidR="00F339C8" w:rsidRDefault="00F339C8">
      <w:pPr>
        <w:rPr>
          <w:rFonts w:ascii="Sylfaen" w:hAnsi="Sylfaen"/>
          <w:lang w:val="ka-GE"/>
        </w:rPr>
      </w:pPr>
    </w:p>
    <w:p w:rsidR="00500F05" w:rsidRDefault="00500F05" w:rsidP="00500F0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</w:t>
      </w:r>
      <w:r w:rsidR="00951CD9">
        <w:rPr>
          <w:rFonts w:ascii="Sylfaen" w:hAnsi="Sylfaen"/>
          <w:b/>
          <w:lang w:val="ka-GE"/>
        </w:rPr>
        <w:t xml:space="preserve">წითელას შემთხვევების განაწილება თვეების მიხედვით, საქართველო, </w:t>
      </w:r>
      <w:r>
        <w:rPr>
          <w:rFonts w:ascii="Sylfaen" w:hAnsi="Sylfaen"/>
          <w:b/>
          <w:lang w:val="ka-GE"/>
        </w:rPr>
        <w:t xml:space="preserve"> </w:t>
      </w:r>
      <w:r w:rsidR="00951CD9">
        <w:rPr>
          <w:rFonts w:ascii="Sylfaen" w:hAnsi="Sylfaen"/>
          <w:b/>
          <w:lang w:val="ka-GE"/>
        </w:rPr>
        <w:t>2013-2015 და 2017-2019 (28 იანვარი)</w:t>
      </w:r>
      <w:r>
        <w:rPr>
          <w:rFonts w:ascii="Sylfaen" w:hAnsi="Sylfaen"/>
          <w:b/>
          <w:lang w:val="ka-GE"/>
        </w:rPr>
        <w:t>.</w:t>
      </w:r>
    </w:p>
    <w:p w:rsidR="00951CD9" w:rsidRDefault="00500F05" w:rsidP="00500F0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2016 წელი არ არის მოყვანილი რადგან ამ წელს მნიშვნელოვნად შეჩერდა ეპიდაფეთქებები და დაფიქსირდა 14 შემთხვევა</w:t>
      </w:r>
      <w:r w:rsidR="00951CD9">
        <w:rPr>
          <w:rFonts w:ascii="Sylfaen" w:hAnsi="Sylfaen"/>
          <w:b/>
          <w:lang w:val="ka-GE"/>
        </w:rPr>
        <w:t xml:space="preserve"> </w:t>
      </w: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tbl>
      <w:tblPr>
        <w:tblW w:w="10329" w:type="dxa"/>
        <w:tblInd w:w="1726" w:type="dxa"/>
        <w:tblLayout w:type="fixed"/>
        <w:tblLook w:val="0000" w:firstRow="0" w:lastRow="0" w:firstColumn="0" w:lastColumn="0" w:noHBand="0" w:noVBand="0"/>
      </w:tblPr>
      <w:tblGrid>
        <w:gridCol w:w="1461"/>
        <w:gridCol w:w="661"/>
        <w:gridCol w:w="662"/>
        <w:gridCol w:w="661"/>
        <w:gridCol w:w="764"/>
        <w:gridCol w:w="720"/>
        <w:gridCol w:w="720"/>
        <w:gridCol w:w="630"/>
        <w:gridCol w:w="810"/>
        <w:gridCol w:w="540"/>
        <w:gridCol w:w="630"/>
        <w:gridCol w:w="630"/>
        <w:gridCol w:w="630"/>
        <w:gridCol w:w="810"/>
      </w:tblGrid>
      <w:tr w:rsidR="00951CD9" w:rsidRPr="00500F05" w:rsidTr="005E27FB">
        <w:trPr>
          <w:trHeight w:val="255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თვეები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III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XII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lang w:val="ka-GE"/>
              </w:rPr>
              <w:t>სულ</w:t>
            </w:r>
          </w:p>
        </w:tc>
      </w:tr>
      <w:tr w:rsidR="00951CD9" w:rsidRPr="00500F05" w:rsidTr="005E27FB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2019</w:t>
            </w:r>
            <w:r w:rsidRPr="00500F05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825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825</w:t>
            </w:r>
          </w:p>
        </w:tc>
      </w:tr>
      <w:tr w:rsidR="00951CD9" w:rsidRPr="00A93497" w:rsidTr="005E27FB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2018 წ შემთხვევა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E255DE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E255D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9D0F80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9D0F80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2209</w:t>
            </w:r>
          </w:p>
        </w:tc>
      </w:tr>
      <w:tr w:rsidR="00951CD9" w:rsidRPr="00A93497" w:rsidTr="005E27FB">
        <w:trPr>
          <w:trHeight w:val="2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lastRenderedPageBreak/>
              <w:t>2017 წ შემთხვევა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714808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b/>
                <w:sz w:val="24"/>
                <w:szCs w:val="24"/>
              </w:rPr>
              <w:t>94</w:t>
            </w:r>
          </w:p>
        </w:tc>
      </w:tr>
      <w:tr w:rsidR="00951CD9" w:rsidRPr="00A93497" w:rsidTr="005E27FB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2015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431</w:t>
            </w:r>
          </w:p>
        </w:tc>
      </w:tr>
      <w:tr w:rsidR="00951CD9" w:rsidRPr="00A93497" w:rsidTr="005E27FB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 xml:space="preserve">2014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483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444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3188</w:t>
            </w:r>
          </w:p>
        </w:tc>
      </w:tr>
      <w:tr w:rsidR="00951CD9" w:rsidRPr="00A93497" w:rsidTr="005E27FB">
        <w:trPr>
          <w:trHeight w:val="2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2013</w:t>
            </w:r>
            <w:r>
              <w:rPr>
                <w:rFonts w:ascii="Sylfaen" w:eastAsia="Times New Roman" w:hAnsi="Sylfaen" w:cs="Arial"/>
                <w:b/>
                <w:bCs/>
                <w:sz w:val="24"/>
                <w:szCs w:val="24"/>
              </w:rPr>
              <w:t xml:space="preserve"> </w:t>
            </w: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წ</w:t>
            </w:r>
          </w:p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bCs/>
                <w:sz w:val="24"/>
                <w:szCs w:val="24"/>
                <w:lang w:val="ka-GE"/>
              </w:rPr>
              <w:t>შემთხვევა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59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2009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2410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1510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144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1CD9" w:rsidRPr="00A93497" w:rsidRDefault="00951CD9" w:rsidP="005E27F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</w:pPr>
            <w:r w:rsidRPr="00A93497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7872</w:t>
            </w:r>
          </w:p>
        </w:tc>
      </w:tr>
    </w:tbl>
    <w:p w:rsidR="00500F05" w:rsidRDefault="00500F05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წითელას შემთხვევების განაწილება თვეების მიხედვით, საქართველო, </w:t>
      </w: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2013-2015 წელი  და 2017 (აგვისტო) – 2019 (იანვარი) წელი</w:t>
      </w: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210E20E0" wp14:editId="360FF317">
            <wp:extent cx="6410325" cy="2514600"/>
            <wp:effectExtent l="0" t="0" r="0" b="0"/>
            <wp:docPr id="5" name="Char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Pr="00A965A6" w:rsidRDefault="00951CD9" w:rsidP="00951CD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ka-GE" w:eastAsia="ka-GE"/>
        </w:rPr>
        <w:drawing>
          <wp:inline distT="0" distB="0" distL="0" distR="0" wp14:anchorId="3D855DBE" wp14:editId="406A1FD5">
            <wp:extent cx="8848725" cy="3733800"/>
            <wp:effectExtent l="0" t="0" r="9525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lang w:val="ka-GE" w:eastAsia="ka-GE"/>
        </w:rPr>
        <w:lastRenderedPageBreak/>
        <w:drawing>
          <wp:inline distT="0" distB="0" distL="0" distR="0" wp14:anchorId="4254181A" wp14:editId="2F2D829A">
            <wp:extent cx="8086725" cy="3171825"/>
            <wp:effectExtent l="0" t="0" r="9525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51CD9" w:rsidRDefault="00951CD9" w:rsidP="00951CD9">
      <w:pPr>
        <w:jc w:val="center"/>
        <w:rPr>
          <w:rFonts w:ascii="Sylfaen" w:hAnsi="Sylfaen"/>
          <w:b/>
          <w:lang w:val="ka-GE"/>
        </w:rPr>
      </w:pPr>
    </w:p>
    <w:p w:rsidR="00951CD9" w:rsidRDefault="00F76996" w:rsidP="00F7699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როგორც ჩანს მრავალწლიანი დინამიკის გრაფიკებიდან, წითელას მატება უმთვრესად აღიწერება მე-4-მე-5 თვეს, გამონაკლისია 2019, როდესაც პიკური მატება დაიწყო იანვრიდან.</w:t>
      </w:r>
    </w:p>
    <w:p w:rsidR="00B23B2E" w:rsidRDefault="00B23B2E" w:rsidP="00F76996">
      <w:pPr>
        <w:jc w:val="both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ka-GE"/>
        </w:rPr>
        <w:lastRenderedPageBreak/>
        <w:drawing>
          <wp:inline distT="0" distB="0" distL="0" distR="0" wp14:anchorId="6A7E0E8A" wp14:editId="0100C158">
            <wp:extent cx="8583930" cy="423100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3930" cy="423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Pr="00A965A6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ka-GE"/>
        </w:rPr>
        <w:lastRenderedPageBreak/>
        <w:drawing>
          <wp:inline distT="0" distB="0" distL="0" distR="0" wp14:anchorId="1505EE17" wp14:editId="1F8BA6C6">
            <wp:extent cx="8410575" cy="364212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224" cy="3640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B2E" w:rsidRPr="007D4DEB" w:rsidRDefault="007D4DEB" w:rsidP="007D4DEB">
      <w:pPr>
        <w:rPr>
          <w:rFonts w:ascii="Sylfaen" w:hAnsi="Sylfaen"/>
          <w:i/>
          <w:lang w:val="ka-GE"/>
        </w:rPr>
      </w:pPr>
      <w:r w:rsidRPr="007D4DEB">
        <w:rPr>
          <w:rFonts w:ascii="Sylfaen" w:hAnsi="Sylfaen"/>
          <w:i/>
          <w:lang w:val="ka-GE"/>
        </w:rPr>
        <w:t>შენიშვნა: მე-4 კალენდარული კვირის კლება არაა ჭეშმარიტი და გამოწვეულია კლინიკური დიაგნოსტიკისა და რეგისტრაციის სისტემის მოთხოვნათა თავისებურებით.</w:t>
      </w: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Pr="00B02559" w:rsidRDefault="00B23B2E" w:rsidP="00B23B2E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წით</w:t>
      </w:r>
      <w:r w:rsidRPr="00B02559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ელას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r>
        <w:rPr>
          <w:rFonts w:ascii="Sylfaen" w:eastAsia="Times New Roman" w:hAnsi="Sylfaen"/>
          <w:b/>
          <w:color w:val="000000"/>
          <w:lang w:eastAsia="ru-RU"/>
        </w:rPr>
        <w:t>, 2019</w:t>
      </w:r>
      <w:r w:rsidRPr="00B02559"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Pr="00B02559"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r>
        <w:rPr>
          <w:rFonts w:ascii="Sylfaen" w:eastAsia="Times New Roman" w:hAnsi="Sylfaen"/>
          <w:b/>
          <w:color w:val="000000"/>
          <w:lang w:eastAsia="ru-RU"/>
        </w:rPr>
        <w:t xml:space="preserve"> 28 იანვარი</w:t>
      </w:r>
    </w:p>
    <w:p w:rsidR="00B23B2E" w:rsidRDefault="00B23B2E" w:rsidP="00B23B2E">
      <w:pPr>
        <w:rPr>
          <w:rFonts w:ascii="Sylfaen" w:hAnsi="Sylfaen"/>
          <w:b/>
          <w:lang w:val="ka-GE"/>
        </w:rPr>
      </w:pPr>
    </w:p>
    <w:tbl>
      <w:tblPr>
        <w:tblpPr w:leftFromText="180" w:rightFromText="180" w:horzAnchor="margin" w:tblpXSpec="center" w:tblpY="375"/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1140"/>
        <w:gridCol w:w="705"/>
        <w:gridCol w:w="793"/>
        <w:gridCol w:w="1098"/>
        <w:gridCol w:w="1019"/>
        <w:gridCol w:w="858"/>
        <w:gridCol w:w="1136"/>
        <w:gridCol w:w="1054"/>
        <w:gridCol w:w="894"/>
        <w:gridCol w:w="1100"/>
        <w:gridCol w:w="986"/>
        <w:gridCol w:w="986"/>
        <w:gridCol w:w="641"/>
      </w:tblGrid>
      <w:tr w:rsidR="000E2079" w:rsidRPr="000E2079" w:rsidTr="000E2079">
        <w:trPr>
          <w:trHeight w:val="892"/>
        </w:trPr>
        <w:tc>
          <w:tcPr>
            <w:tcW w:w="2955" w:type="dxa"/>
            <w:hideMark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რეგიონი</w:t>
            </w:r>
          </w:p>
        </w:tc>
        <w:tc>
          <w:tcPr>
            <w:tcW w:w="1140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 w:eastAsia="ru-RU"/>
              </w:rPr>
            </w:pPr>
            <w:r w:rsidRPr="000E2079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val="ka-GE" w:eastAsia="ru-RU"/>
              </w:rPr>
              <w:t>აფხაზეთი</w:t>
            </w:r>
          </w:p>
        </w:tc>
        <w:tc>
          <w:tcPr>
            <w:tcW w:w="705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აჭარა</w:t>
            </w:r>
          </w:p>
        </w:tc>
        <w:tc>
          <w:tcPr>
            <w:tcW w:w="793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გურია</w:t>
            </w:r>
          </w:p>
        </w:tc>
        <w:tc>
          <w:tcPr>
            <w:tcW w:w="1098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თბილისი</w:t>
            </w:r>
          </w:p>
        </w:tc>
        <w:tc>
          <w:tcPr>
            <w:tcW w:w="1019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იმერეთი</w:t>
            </w:r>
          </w:p>
        </w:tc>
        <w:tc>
          <w:tcPr>
            <w:tcW w:w="858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კახეთი</w:t>
            </w:r>
          </w:p>
        </w:tc>
        <w:tc>
          <w:tcPr>
            <w:tcW w:w="1136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მცხეთა</w:t>
            </w:r>
            <w:r w:rsidRPr="000E2079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მთიანეთი</w:t>
            </w:r>
          </w:p>
        </w:tc>
        <w:tc>
          <w:tcPr>
            <w:tcW w:w="1054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რაჭა</w:t>
            </w:r>
            <w:r w:rsidRPr="000E2079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ლეჩხუმი</w:t>
            </w:r>
          </w:p>
        </w:tc>
        <w:tc>
          <w:tcPr>
            <w:tcW w:w="894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სამეგრელო</w:t>
            </w:r>
          </w:p>
        </w:tc>
        <w:tc>
          <w:tcPr>
            <w:tcW w:w="1100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სამცხე</w:t>
            </w:r>
            <w:r w:rsidRPr="000E2079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ჯავახეთი</w:t>
            </w:r>
          </w:p>
        </w:tc>
        <w:tc>
          <w:tcPr>
            <w:tcW w:w="986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/>
                <w:b/>
                <w:color w:val="000000"/>
                <w:sz w:val="18"/>
                <w:szCs w:val="18"/>
                <w:lang w:eastAsia="ru-RU"/>
              </w:rPr>
              <w:t>ქვემო ქართლი</w:t>
            </w:r>
          </w:p>
        </w:tc>
        <w:tc>
          <w:tcPr>
            <w:tcW w:w="986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შიდა</w:t>
            </w:r>
            <w:r w:rsidRPr="000E2079">
              <w:rPr>
                <w:rFonts w:eastAsia="Times New Roman" w:cs="Calibri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ქართლი</w:t>
            </w:r>
          </w:p>
        </w:tc>
        <w:tc>
          <w:tcPr>
            <w:tcW w:w="641" w:type="dxa"/>
          </w:tcPr>
          <w:p w:rsidR="00B23B2E" w:rsidRPr="000E2079" w:rsidRDefault="00B23B2E" w:rsidP="00B23B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E207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eastAsia="ru-RU"/>
              </w:rPr>
              <w:t>სულ</w:t>
            </w:r>
          </w:p>
        </w:tc>
      </w:tr>
      <w:tr w:rsidR="000E2079" w:rsidRPr="000E2079" w:rsidTr="000E2079">
        <w:trPr>
          <w:trHeight w:val="1028"/>
        </w:trPr>
        <w:tc>
          <w:tcPr>
            <w:tcW w:w="2955" w:type="dxa"/>
            <w:hideMark/>
          </w:tcPr>
          <w:p w:rsidR="00B23B2E" w:rsidRPr="000E2079" w:rsidRDefault="00B23B2E" w:rsidP="00B23B2E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2019 წ 21 იანვარს</w:t>
            </w:r>
          </w:p>
          <w:p w:rsidR="00B23B2E" w:rsidRPr="000E2079" w:rsidRDefault="00B23B2E" w:rsidP="00B23B2E">
            <w:pPr>
              <w:rPr>
                <w:b/>
                <w:sz w:val="18"/>
                <w:szCs w:val="18"/>
              </w:rPr>
            </w:pPr>
            <w:r w:rsidRPr="000E2079">
              <w:rPr>
                <w:rFonts w:ascii="Sylfaen" w:hAnsi="Sylfaen" w:cs="Sylfaen"/>
                <w:b/>
                <w:sz w:val="18"/>
                <w:szCs w:val="18"/>
              </w:rPr>
              <w:t>შეტყობინებულია</w:t>
            </w:r>
            <w:r w:rsidRPr="000E207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705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793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098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1019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58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1136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1054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894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1100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986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641" w:type="dxa"/>
          </w:tcPr>
          <w:p w:rsidR="00B23B2E" w:rsidRPr="000E2079" w:rsidRDefault="00B23B2E" w:rsidP="00B23B2E">
            <w:pPr>
              <w:rPr>
                <w:rFonts w:ascii="Sylfaen" w:hAnsi="Sylfaen"/>
                <w:b/>
                <w:sz w:val="18"/>
                <w:szCs w:val="18"/>
              </w:rPr>
            </w:pPr>
            <w:r w:rsidRPr="000E2079">
              <w:rPr>
                <w:rFonts w:ascii="Sylfaen" w:hAnsi="Sylfaen"/>
                <w:b/>
                <w:sz w:val="18"/>
                <w:szCs w:val="18"/>
                <w:lang w:val="ka-GE"/>
              </w:rPr>
              <w:t>58</w:t>
            </w:r>
          </w:p>
        </w:tc>
      </w:tr>
      <w:tr w:rsidR="000E2079" w:rsidRPr="000E2079" w:rsidTr="000E2079">
        <w:trPr>
          <w:trHeight w:val="793"/>
        </w:trPr>
        <w:tc>
          <w:tcPr>
            <w:tcW w:w="2955" w:type="dxa"/>
            <w:hideMark/>
          </w:tcPr>
          <w:p w:rsidR="00B23B2E" w:rsidRPr="000E2079" w:rsidRDefault="00B23B2E" w:rsidP="00B23B2E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 w:cs="Sylfaen"/>
                <w:b/>
                <w:sz w:val="18"/>
                <w:szCs w:val="18"/>
              </w:rPr>
              <w:t>სულ</w:t>
            </w:r>
            <w:r w:rsidRPr="000E2079">
              <w:rPr>
                <w:b/>
                <w:sz w:val="18"/>
                <w:szCs w:val="18"/>
              </w:rPr>
              <w:t xml:space="preserve"> 2019 </w:t>
            </w:r>
            <w:r w:rsidRPr="000E2079">
              <w:rPr>
                <w:rFonts w:ascii="Sylfaen" w:hAnsi="Sylfaen" w:cs="Sylfaen"/>
                <w:b/>
                <w:sz w:val="18"/>
                <w:szCs w:val="18"/>
              </w:rPr>
              <w:t>წე</w:t>
            </w:r>
            <w:r w:rsidRPr="000E2079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ლი</w:t>
            </w:r>
          </w:p>
          <w:p w:rsidR="00B23B2E" w:rsidRPr="000E2079" w:rsidRDefault="00B23B2E" w:rsidP="00B23B2E">
            <w:pPr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21 იანვრის </w:t>
            </w:r>
            <w:r w:rsidRPr="000E2079">
              <w:rPr>
                <w:rFonts w:ascii="Sylfaen" w:hAnsi="Sylfaen" w:cs="Sylfaen"/>
                <w:b/>
                <w:sz w:val="18"/>
                <w:szCs w:val="18"/>
              </w:rPr>
              <w:t>ჩათვლით</w:t>
            </w:r>
          </w:p>
        </w:tc>
        <w:tc>
          <w:tcPr>
            <w:tcW w:w="1140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705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793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1098" w:type="dxa"/>
          </w:tcPr>
          <w:p w:rsidR="00B23B2E" w:rsidRPr="000E2079" w:rsidRDefault="00B23B2E" w:rsidP="00B23B2E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b/>
                <w:sz w:val="18"/>
                <w:szCs w:val="18"/>
                <w:lang w:val="ka-GE"/>
              </w:rPr>
              <w:t>291</w:t>
            </w:r>
          </w:p>
        </w:tc>
        <w:tc>
          <w:tcPr>
            <w:tcW w:w="1019" w:type="dxa"/>
          </w:tcPr>
          <w:p w:rsidR="00B23B2E" w:rsidRPr="000E2079" w:rsidRDefault="00B23B2E" w:rsidP="00B23B2E">
            <w:pPr>
              <w:rPr>
                <w:rFonts w:ascii="Sylfaen" w:hAnsi="Sylfaen"/>
                <w:b/>
                <w:sz w:val="18"/>
                <w:szCs w:val="18"/>
              </w:rPr>
            </w:pPr>
            <w:r w:rsidRPr="000E2079">
              <w:rPr>
                <w:rFonts w:ascii="Sylfaen" w:hAnsi="Sylfaen"/>
                <w:b/>
                <w:sz w:val="18"/>
                <w:szCs w:val="18"/>
                <w:lang w:val="ka-GE"/>
              </w:rPr>
              <w:t>174</w:t>
            </w:r>
          </w:p>
        </w:tc>
        <w:tc>
          <w:tcPr>
            <w:tcW w:w="858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57</w:t>
            </w:r>
          </w:p>
        </w:tc>
        <w:tc>
          <w:tcPr>
            <w:tcW w:w="1136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1054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894" w:type="dxa"/>
          </w:tcPr>
          <w:p w:rsidR="00B23B2E" w:rsidRPr="000E2079" w:rsidRDefault="00B23B2E" w:rsidP="00B23B2E">
            <w:pPr>
              <w:rPr>
                <w:rFonts w:ascii="Sylfaen" w:hAnsi="Sylfaen"/>
                <w:b/>
                <w:sz w:val="18"/>
                <w:szCs w:val="18"/>
              </w:rPr>
            </w:pPr>
            <w:r w:rsidRPr="000E2079">
              <w:rPr>
                <w:rFonts w:ascii="Sylfaen" w:hAnsi="Sylfaen"/>
                <w:b/>
                <w:sz w:val="18"/>
                <w:szCs w:val="18"/>
                <w:lang w:val="ka-GE"/>
              </w:rPr>
              <w:t>166</w:t>
            </w:r>
          </w:p>
        </w:tc>
        <w:tc>
          <w:tcPr>
            <w:tcW w:w="1100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21</w:t>
            </w:r>
          </w:p>
        </w:tc>
        <w:tc>
          <w:tcPr>
            <w:tcW w:w="986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</w:rPr>
              <w:t>31</w:t>
            </w:r>
          </w:p>
        </w:tc>
        <w:tc>
          <w:tcPr>
            <w:tcW w:w="986" w:type="dxa"/>
          </w:tcPr>
          <w:p w:rsidR="00B23B2E" w:rsidRPr="000E2079" w:rsidRDefault="00B23B2E" w:rsidP="00B23B2E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sz w:val="18"/>
                <w:szCs w:val="18"/>
                <w:lang w:val="ka-GE"/>
              </w:rPr>
              <w:t>31</w:t>
            </w:r>
          </w:p>
        </w:tc>
        <w:tc>
          <w:tcPr>
            <w:tcW w:w="641" w:type="dxa"/>
          </w:tcPr>
          <w:p w:rsidR="00B23B2E" w:rsidRPr="000E2079" w:rsidRDefault="00B23B2E" w:rsidP="00B23B2E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0E2079">
              <w:rPr>
                <w:rFonts w:ascii="Sylfaen" w:hAnsi="Sylfaen"/>
                <w:b/>
                <w:sz w:val="18"/>
                <w:szCs w:val="18"/>
                <w:lang w:val="ka-GE"/>
              </w:rPr>
              <w:t>825</w:t>
            </w:r>
          </w:p>
        </w:tc>
      </w:tr>
    </w:tbl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Pr="00391E17" w:rsidRDefault="00B23B2E" w:rsidP="00B23B2E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eastAsia="ru-RU"/>
        </w:rPr>
      </w:pPr>
      <w:r w:rsidRPr="00391E17">
        <w:rPr>
          <w:rFonts w:ascii="Sylfaen" w:eastAsia="Times New Roman" w:hAnsi="Sylfaen"/>
          <w:b/>
          <w:color w:val="000000"/>
          <w:lang w:eastAsia="ru-RU"/>
        </w:rPr>
        <w:t>ასაკობრივი განაწილება</w:t>
      </w: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tbl>
      <w:tblPr>
        <w:tblW w:w="4412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</w:tblGrid>
      <w:tr w:rsidR="00B23B2E" w:rsidRPr="00391E17" w:rsidTr="005E27FB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</w:p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2A5B4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8,8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C31E6B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5,1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11,3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lang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67AA0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eastAsia="ru-RU"/>
              </w:rPr>
              <w:t>7,6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493F3E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493F3E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493F3E">
              <w:rPr>
                <w:rFonts w:eastAsia="Times New Roman"/>
                <w:b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5,9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493F3E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493F3E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25,6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40+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5,6</w:t>
            </w:r>
          </w:p>
        </w:tc>
      </w:tr>
      <w:tr w:rsidR="00B23B2E" w:rsidRPr="00391E17" w:rsidTr="005E27FB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  <w:p w:rsidR="00B23B2E" w:rsidRPr="00391E17" w:rsidRDefault="00B23B2E" w:rsidP="005E27FB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3B2E" w:rsidRPr="00391E17" w:rsidRDefault="00B23B2E" w:rsidP="005E27F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B23B2E" w:rsidP="00B23B2E">
      <w:pPr>
        <w:jc w:val="center"/>
        <w:rPr>
          <w:rFonts w:ascii="Sylfaen" w:hAnsi="Sylfaen"/>
          <w:b/>
          <w:lang w:val="ka-GE"/>
        </w:rPr>
      </w:pPr>
    </w:p>
    <w:p w:rsidR="00B23B2E" w:rsidRDefault="002A0CD5" w:rsidP="00F7699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წითელას ეპიდაფეთქების გავრცელების შეკავების მიზნით, 19 იანვრიდან 28 იანვრის ჩათვლით დამატებით ჩატარდა 31 838 ვაქცინაცია. მ.შ. რეგიონებად: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თბილისი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>  - 13504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გურია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- 1057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აჭარა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- 2786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შიდა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ქართლი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- 1922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იმერეთ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ი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>- 3531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სამცხე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>- 1826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რაჭა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- 676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მცხეთა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მთიანეთი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- 687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კახეთი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>- 2919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სამეგრელო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- 1900                      </w:t>
      </w:r>
    </w:p>
    <w:p w:rsidR="002A0CD5" w:rsidRP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ფოთი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  84</w:t>
      </w:r>
    </w:p>
    <w:p w:rsidR="002A0CD5" w:rsidRDefault="002A0CD5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ქვემო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2A0CD5">
        <w:rPr>
          <w:rFonts w:ascii="Sylfaen" w:eastAsia="Times New Roman" w:hAnsi="Sylfaen" w:cs="Sylfaen"/>
          <w:color w:val="000000"/>
          <w:sz w:val="24"/>
          <w:szCs w:val="24"/>
        </w:rPr>
        <w:t>ქართლი</w:t>
      </w:r>
      <w:r w:rsidRPr="002A0CD5">
        <w:rPr>
          <w:rFonts w:ascii="Calibri" w:eastAsia="Times New Roman" w:hAnsi="Calibri" w:cs="Calibri"/>
          <w:color w:val="000000"/>
          <w:sz w:val="24"/>
          <w:szCs w:val="24"/>
        </w:rPr>
        <w:t xml:space="preserve"> - 946</w:t>
      </w:r>
    </w:p>
    <w:p w:rsidR="001B607F" w:rsidRDefault="001B607F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B607F" w:rsidRDefault="001B607F" w:rsidP="002A0C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F339C8" w:rsidRDefault="001B607F" w:rsidP="00E51EE7">
      <w:p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ბოლო 10 დღის განმავლობაში სერიოზულად მოიმატა ქვეყნის მაშტაბით წითელა/წითურა/ყბაყურას საწინააღმდეგო ვაქცინით აცრებმა (31838)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რაც ძალიან კარგია ეპიდაფეთქების შეჩერებისთვის</w:t>
      </w:r>
      <w:r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. ჩვენი გათვლებით იანვრის დასაწყისში არსებული მარაგი (150 000 დოზა) ვაქცინის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ა</w:t>
      </w:r>
      <w:r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უნდა გვყოფნოდა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მაისამდე, </w:t>
      </w:r>
      <w:r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დაახლოებით 44 000 დოზა გეგმიური აცრებისთვის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ბავშვებში </w:t>
      </w:r>
      <w:r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(თვეში დაახლოებით 11 000) და დამატებითი აცრებისთვის დაახლოებით 100 00 -ზე ცოტა მეტი.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ამიტომ შემდგომი პარტიის შემოტანა ქვეყანაში გაეროს ბავშთა ფონდთან შეთანხმებული იყო მაისისთვის.  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დღეს არსებული </w:t>
      </w:r>
      <w:r w:rsidR="0065714F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ხარჯვის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ტემ</w:t>
      </w:r>
      <w:r w:rsidR="0065714F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პით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ვფიქრობთ, რომ მარაგებს შეექმნება საფრთხე და </w:t>
      </w:r>
      <w:r w:rsidR="0065714F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ამიტომ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სამი დღეა  ინტენსიური მუშაობა </w:t>
      </w:r>
      <w:r w:rsidR="0065714F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მიმდინარეობს</w:t>
      </w:r>
      <w:r w:rsidR="0065714F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</w:t>
      </w:r>
      <w:bookmarkStart w:id="0" w:name="_GoBack"/>
      <w:bookmarkEnd w:id="0"/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იუნისეფთან და ჯანმოსთან, რათა მაისისთვის დაგეგმილი შემოტანა </w:t>
      </w:r>
      <w:r w:rsidR="00E51EE7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ვაქცინისა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გადმონცვლდეს თებერვლისთვის. ასევე მიმდინარეობს მუშაობა </w:t>
      </w:r>
      <w:r w:rsidR="00E51EE7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იმპორტის </w:t>
      </w:r>
      <w:r w:rsidR="00D91642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სხვადასხვა ალტერნატიულ მექანიზმებზე, რათა თავიდან ავიცილოთ ვაქცინის მიწოდების წყვეტა. ვფიქრობ ამ კვირაში გვექნება დაზუსტებული ინფორმაციები.</w:t>
      </w:r>
      <w:r w:rsidR="00951CD9">
        <w:rPr>
          <w:rFonts w:ascii="Sylfaen" w:hAnsi="Sylfaen"/>
          <w:b/>
          <w:lang w:val="ka-GE"/>
        </w:rPr>
        <w:t xml:space="preserve">  </w:t>
      </w:r>
    </w:p>
    <w:p w:rsidR="00F339C8" w:rsidRPr="00F339C8" w:rsidRDefault="00F339C8">
      <w:pPr>
        <w:rPr>
          <w:rFonts w:ascii="Sylfaen" w:hAnsi="Sylfaen"/>
        </w:rPr>
      </w:pPr>
    </w:p>
    <w:p w:rsidR="00823BB4" w:rsidRDefault="00823BB4"/>
    <w:sectPr w:rsidR="00823BB4" w:rsidSect="00823B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B4"/>
    <w:rsid w:val="000E2079"/>
    <w:rsid w:val="001B607F"/>
    <w:rsid w:val="002A0CD5"/>
    <w:rsid w:val="00500F05"/>
    <w:rsid w:val="00534DF9"/>
    <w:rsid w:val="0065714F"/>
    <w:rsid w:val="00730859"/>
    <w:rsid w:val="007D4DEB"/>
    <w:rsid w:val="00823BB4"/>
    <w:rsid w:val="008F3DDF"/>
    <w:rsid w:val="00951CD9"/>
    <w:rsid w:val="00B23B2E"/>
    <w:rsid w:val="00BF032B"/>
    <w:rsid w:val="00C676CF"/>
    <w:rsid w:val="00D91642"/>
    <w:rsid w:val="00E3158B"/>
    <w:rsid w:val="00E51EE7"/>
    <w:rsid w:val="00F339C8"/>
    <w:rsid w:val="00F76996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3E530-E17B-4CFB-9BE0-BC0F550A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57894736842107E-2"/>
          <c:y val="5.905511811023622E-2"/>
          <c:w val="0.93834586466165415"/>
          <c:h val="0.8385826771653542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2019w.</c:v>
                </c:pt>
              </c:strCache>
            </c:strRef>
          </c:tx>
          <c:spPr>
            <a:ln w="37987">
              <a:solidFill>
                <a:srgbClr val="00008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825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2018w.</c:v>
                </c:pt>
              </c:strCache>
            </c:strRef>
          </c:tx>
          <c:spPr>
            <a:ln w="37987">
              <a:solidFill>
                <a:srgbClr val="FF00FF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124</c:v>
                </c:pt>
                <c:pt idx="1">
                  <c:v>159</c:v>
                </c:pt>
                <c:pt idx="2">
                  <c:v>158</c:v>
                </c:pt>
                <c:pt idx="3">
                  <c:v>221</c:v>
                </c:pt>
                <c:pt idx="4">
                  <c:v>253</c:v>
                </c:pt>
                <c:pt idx="5">
                  <c:v>212</c:v>
                </c:pt>
                <c:pt idx="6">
                  <c:v>163</c:v>
                </c:pt>
                <c:pt idx="7">
                  <c:v>60</c:v>
                </c:pt>
                <c:pt idx="8">
                  <c:v>47</c:v>
                </c:pt>
                <c:pt idx="9">
                  <c:v>105</c:v>
                </c:pt>
                <c:pt idx="10">
                  <c:v>219</c:v>
                </c:pt>
                <c:pt idx="11">
                  <c:v>486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2017w.</c:v>
                </c:pt>
              </c:strCache>
            </c:strRef>
          </c:tx>
          <c:spPr>
            <a:ln w="37987">
              <a:solidFill>
                <a:srgbClr val="339966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9</c:v>
                </c:pt>
                <c:pt idx="8">
                  <c:v>9</c:v>
                </c:pt>
                <c:pt idx="9">
                  <c:v>1</c:v>
                </c:pt>
                <c:pt idx="10">
                  <c:v>13</c:v>
                </c:pt>
                <c:pt idx="11">
                  <c:v>60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2015w.</c:v>
                </c:pt>
              </c:strCache>
            </c:strRef>
          </c:tx>
          <c:spPr>
            <a:ln w="25400"/>
          </c:spP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44</c:v>
                </c:pt>
                <c:pt idx="1">
                  <c:v>81</c:v>
                </c:pt>
                <c:pt idx="2">
                  <c:v>61</c:v>
                </c:pt>
                <c:pt idx="3">
                  <c:v>55</c:v>
                </c:pt>
                <c:pt idx="4">
                  <c:v>109</c:v>
                </c:pt>
                <c:pt idx="5">
                  <c:v>64</c:v>
                </c:pt>
                <c:pt idx="6">
                  <c:v>12</c:v>
                </c:pt>
                <c:pt idx="7">
                  <c:v>3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2014w.</c:v>
                </c:pt>
              </c:strCache>
            </c:strRef>
          </c:tx>
          <c:spPr>
            <a:ln w="25400">
              <a:solidFill>
                <a:srgbClr val="00B0F0"/>
              </a:solidFill>
            </a:ln>
          </c:spPr>
          <c:marker>
            <c:spPr>
              <a:ln>
                <a:solidFill>
                  <a:srgbClr val="00B0F0"/>
                </a:solidFill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General</c:formatCode>
                <c:ptCount val="12"/>
                <c:pt idx="0">
                  <c:v>201</c:v>
                </c:pt>
                <c:pt idx="1">
                  <c:v>246</c:v>
                </c:pt>
                <c:pt idx="2">
                  <c:v>483</c:v>
                </c:pt>
                <c:pt idx="3">
                  <c:v>760</c:v>
                </c:pt>
                <c:pt idx="4">
                  <c:v>704</c:v>
                </c:pt>
                <c:pt idx="5">
                  <c:v>444</c:v>
                </c:pt>
                <c:pt idx="6">
                  <c:v>180</c:v>
                </c:pt>
                <c:pt idx="7">
                  <c:v>69</c:v>
                </c:pt>
                <c:pt idx="8">
                  <c:v>21</c:v>
                </c:pt>
                <c:pt idx="9">
                  <c:v>13</c:v>
                </c:pt>
                <c:pt idx="10">
                  <c:v>29</c:v>
                </c:pt>
                <c:pt idx="11">
                  <c:v>38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2013w.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5</c:v>
                </c:pt>
                <c:pt idx="1">
                  <c:v>59</c:v>
                </c:pt>
                <c:pt idx="2">
                  <c:v>689</c:v>
                </c:pt>
                <c:pt idx="3">
                  <c:v>2009</c:v>
                </c:pt>
                <c:pt idx="4">
                  <c:v>2410</c:v>
                </c:pt>
                <c:pt idx="5">
                  <c:v>1510</c:v>
                </c:pt>
                <c:pt idx="6">
                  <c:v>635</c:v>
                </c:pt>
                <c:pt idx="7">
                  <c:v>188</c:v>
                </c:pt>
                <c:pt idx="8">
                  <c:v>67</c:v>
                </c:pt>
                <c:pt idx="9">
                  <c:v>63</c:v>
                </c:pt>
                <c:pt idx="10">
                  <c:v>93</c:v>
                </c:pt>
                <c:pt idx="11">
                  <c:v>144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0919968"/>
        <c:axId val="420920528"/>
      </c:lineChart>
      <c:catAx>
        <c:axId val="420919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a-GE"/>
          </a:p>
        </c:txPr>
        <c:crossAx val="4209205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0920528"/>
        <c:scaling>
          <c:orientation val="minMax"/>
          <c:min val="0"/>
        </c:scaling>
        <c:delete val="0"/>
        <c:axPos val="l"/>
        <c:majorGridlines>
          <c:spPr>
            <a:ln w="316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a-GE"/>
          </a:p>
        </c:txPr>
        <c:crossAx val="420919968"/>
        <c:crosses val="autoZero"/>
        <c:crossBetween val="between"/>
      </c:valAx>
      <c:spPr>
        <a:solidFill>
          <a:srgbClr val="FFFFFF"/>
        </a:solidFill>
        <a:ln w="12662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503759398496245"/>
          <c:y val="5.5118110236220472E-2"/>
          <c:w val="0.10738004703349674"/>
          <c:h val="0.46411834884275827"/>
        </c:manualLayout>
      </c:layout>
      <c:overlay val="0"/>
      <c:spPr>
        <a:noFill/>
        <a:ln w="3166">
          <a:solidFill>
            <a:srgbClr val="000000"/>
          </a:solidFill>
          <a:prstDash val="solid"/>
        </a:ln>
      </c:spPr>
      <c:txPr>
        <a:bodyPr/>
        <a:lstStyle/>
        <a:p>
          <a:pPr>
            <a:defRPr sz="917" b="0" i="0" u="none" strike="noStrike" baseline="0">
              <a:solidFill>
                <a:srgbClr val="000000"/>
              </a:solidFill>
              <a:latin typeface="AcadNusx"/>
              <a:ea typeface="AcadNusx"/>
              <a:cs typeface="AcadNusx"/>
            </a:defRPr>
          </a:pPr>
          <a:endParaRPr lang="ka-GE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12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ka-G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შემთხვევები, საქართველო,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08.</a:t>
            </a:r>
            <a:r>
              <a:rPr lang="ka-GE" sz="1200" baseline="0"/>
              <a:t>2017-</a:t>
            </a:r>
            <a:r>
              <a:rPr lang="en-US" sz="1200" baseline="0"/>
              <a:t>0</a:t>
            </a:r>
            <a:r>
              <a:rPr lang="ka-GE" sz="1200" baseline="0"/>
              <a:t>1.201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34465277777777775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6402099737532808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Sheet1!$A$2:$A$19</c:f>
              <c:strCache>
                <c:ptCount val="18"/>
                <c:pt idx="0">
                  <c:v>2017 VIIII</c:v>
                </c:pt>
                <c:pt idx="1">
                  <c:v>IX</c:v>
                </c:pt>
                <c:pt idx="2">
                  <c:v>X</c:v>
                </c:pt>
                <c:pt idx="3">
                  <c:v>XIII</c:v>
                </c:pt>
                <c:pt idx="4">
                  <c:v>X!I</c:v>
                </c:pt>
                <c:pt idx="5">
                  <c:v>2018 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2019 I</c:v>
                </c:pt>
              </c:strCache>
            </c:strRef>
          </c:cat>
          <c:val>
            <c:numRef>
              <c:f>Sheet1!$B$2:$B$19</c:f>
              <c:numCache>
                <c:formatCode>General</c:formatCode>
                <c:ptCount val="18"/>
                <c:pt idx="0">
                  <c:v>9</c:v>
                </c:pt>
                <c:pt idx="1">
                  <c:v>9</c:v>
                </c:pt>
                <c:pt idx="2">
                  <c:v>1</c:v>
                </c:pt>
                <c:pt idx="3">
                  <c:v>13</c:v>
                </c:pt>
                <c:pt idx="4">
                  <c:v>60</c:v>
                </c:pt>
                <c:pt idx="5">
                  <c:v>124</c:v>
                </c:pt>
                <c:pt idx="6">
                  <c:v>159</c:v>
                </c:pt>
                <c:pt idx="7">
                  <c:v>158</c:v>
                </c:pt>
                <c:pt idx="8">
                  <c:v>221</c:v>
                </c:pt>
                <c:pt idx="9">
                  <c:v>253</c:v>
                </c:pt>
                <c:pt idx="10">
                  <c:v>212</c:v>
                </c:pt>
                <c:pt idx="11">
                  <c:v>163</c:v>
                </c:pt>
                <c:pt idx="12">
                  <c:v>60</c:v>
                </c:pt>
                <c:pt idx="13">
                  <c:v>47</c:v>
                </c:pt>
                <c:pt idx="14">
                  <c:v>105</c:v>
                </c:pt>
                <c:pt idx="15">
                  <c:v>219</c:v>
                </c:pt>
                <c:pt idx="16">
                  <c:v>486</c:v>
                </c:pt>
                <c:pt idx="17">
                  <c:v>825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665248"/>
        <c:axId val="423665808"/>
      </c:lineChart>
      <c:catAx>
        <c:axId val="4236652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თვე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423665808"/>
        <c:crosses val="autoZero"/>
        <c:auto val="1"/>
        <c:lblAlgn val="ctr"/>
        <c:lblOffset val="100"/>
        <c:noMultiLvlLbl val="0"/>
      </c:catAx>
      <c:valAx>
        <c:axId val="42366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42366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a-G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შემთხვევები, საქართველო,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201</a:t>
            </a:r>
            <a:r>
              <a:rPr lang="en-US" sz="1200" baseline="0"/>
              <a:t>3</a:t>
            </a:r>
            <a:r>
              <a:rPr lang="ka-GE" sz="1200" baseline="0"/>
              <a:t>-</a:t>
            </a:r>
            <a:r>
              <a:rPr lang="en-US" sz="1200" baseline="0"/>
              <a:t>31</a:t>
            </a:r>
            <a:r>
              <a:rPr lang="ka-GE" sz="1200" baseline="0"/>
              <a:t>.201</a:t>
            </a:r>
            <a:r>
              <a:rPr lang="en-US" sz="1200" baseline="0"/>
              <a:t>5</a:t>
            </a:r>
            <a:endParaRPr lang="en-GB" sz="1200" baseline="0"/>
          </a:p>
        </c:rich>
      </c:tx>
      <c:layout>
        <c:manualLayout>
          <c:xMode val="edge"/>
          <c:yMode val="edge"/>
          <c:x val="0.34465277777777775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64020997375328081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Sheet1!$A$2:$A$37</c:f>
              <c:strCache>
                <c:ptCount val="36"/>
                <c:pt idx="0">
                  <c:v>2013 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 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2015 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  <c:pt idx="35">
                  <c:v>XII</c:v>
                </c:pt>
              </c:strCache>
            </c:strRef>
          </c:cat>
          <c:val>
            <c:numRef>
              <c:f>Sheet1!$B$2:$B$37</c:f>
              <c:numCache>
                <c:formatCode>General</c:formatCode>
                <c:ptCount val="36"/>
                <c:pt idx="0">
                  <c:v>5</c:v>
                </c:pt>
                <c:pt idx="1">
                  <c:v>5</c:v>
                </c:pt>
                <c:pt idx="2">
                  <c:v>689</c:v>
                </c:pt>
                <c:pt idx="3">
                  <c:v>2009</c:v>
                </c:pt>
                <c:pt idx="4">
                  <c:v>2410</c:v>
                </c:pt>
                <c:pt idx="5">
                  <c:v>1510</c:v>
                </c:pt>
                <c:pt idx="6">
                  <c:v>635</c:v>
                </c:pt>
                <c:pt idx="7">
                  <c:v>188</c:v>
                </c:pt>
                <c:pt idx="8">
                  <c:v>67</c:v>
                </c:pt>
                <c:pt idx="9">
                  <c:v>63</c:v>
                </c:pt>
                <c:pt idx="10">
                  <c:v>93</c:v>
                </c:pt>
                <c:pt idx="11">
                  <c:v>144</c:v>
                </c:pt>
                <c:pt idx="12">
                  <c:v>201</c:v>
                </c:pt>
                <c:pt idx="13">
                  <c:v>246</c:v>
                </c:pt>
                <c:pt idx="14">
                  <c:v>483</c:v>
                </c:pt>
                <c:pt idx="15">
                  <c:v>760</c:v>
                </c:pt>
                <c:pt idx="16">
                  <c:v>704</c:v>
                </c:pt>
                <c:pt idx="17">
                  <c:v>444</c:v>
                </c:pt>
                <c:pt idx="18">
                  <c:v>180</c:v>
                </c:pt>
                <c:pt idx="19">
                  <c:v>69</c:v>
                </c:pt>
                <c:pt idx="20">
                  <c:v>21</c:v>
                </c:pt>
                <c:pt idx="21">
                  <c:v>13</c:v>
                </c:pt>
                <c:pt idx="22">
                  <c:v>29</c:v>
                </c:pt>
                <c:pt idx="23">
                  <c:v>38</c:v>
                </c:pt>
                <c:pt idx="24">
                  <c:v>44</c:v>
                </c:pt>
                <c:pt idx="25">
                  <c:v>81</c:v>
                </c:pt>
                <c:pt idx="26">
                  <c:v>61</c:v>
                </c:pt>
                <c:pt idx="27">
                  <c:v>55</c:v>
                </c:pt>
                <c:pt idx="28">
                  <c:v>109</c:v>
                </c:pt>
                <c:pt idx="29">
                  <c:v>64</c:v>
                </c:pt>
                <c:pt idx="30">
                  <c:v>12</c:v>
                </c:pt>
                <c:pt idx="31">
                  <c:v>3</c:v>
                </c:pt>
                <c:pt idx="32">
                  <c:v>1</c:v>
                </c:pt>
                <c:pt idx="33">
                  <c:v>0</c:v>
                </c:pt>
                <c:pt idx="34">
                  <c:v>0</c:v>
                </c:pt>
                <c:pt idx="35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0675584"/>
        <c:axId val="290676144"/>
      </c:lineChart>
      <c:catAx>
        <c:axId val="2906755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თვე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290676144"/>
        <c:crosses val="autoZero"/>
        <c:auto val="1"/>
        <c:lblAlgn val="ctr"/>
        <c:lblOffset val="100"/>
        <c:noMultiLvlLbl val="0"/>
      </c:catAx>
      <c:valAx>
        <c:axId val="29067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a-GE"/>
          </a:p>
        </c:txPr>
        <c:crossAx val="290675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a-G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Zakhashvili</dc:creator>
  <cp:lastModifiedBy>Amirani</cp:lastModifiedBy>
  <cp:revision>2</cp:revision>
  <dcterms:created xsi:type="dcterms:W3CDTF">2019-01-28T18:52:00Z</dcterms:created>
  <dcterms:modified xsi:type="dcterms:W3CDTF">2019-01-28T18:52:00Z</dcterms:modified>
</cp:coreProperties>
</file>